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rPr>
      </w:pPr>
      <w:r>
        <w:rPr>
          <w:rFonts w:hint="eastAsia" w:ascii="黑体" w:hAnsi="黑体" w:eastAsia="黑体"/>
          <w:sz w:val="32"/>
          <w:szCs w:val="32"/>
        </w:rPr>
        <w:t>附件2</w:t>
      </w:r>
    </w:p>
    <w:p>
      <w:pPr>
        <w:spacing w:line="600" w:lineRule="exact"/>
        <w:rPr>
          <w:rFonts w:hint="eastAsia" w:ascii="黑体" w:hAnsi="黑体" w:eastAsia="黑体"/>
        </w:rPr>
      </w:pPr>
    </w:p>
    <w:p>
      <w:pPr>
        <w:spacing w:line="600" w:lineRule="exact"/>
        <w:rPr>
          <w:rFonts w:hint="eastAsia" w:ascii="黑体" w:hAnsi="黑体" w:eastAsia="黑体"/>
        </w:rPr>
      </w:pPr>
    </w:p>
    <w:p>
      <w:pPr>
        <w:spacing w:line="600" w:lineRule="exact"/>
        <w:rPr>
          <w:rFonts w:hint="eastAsia" w:ascii="黑体" w:hAnsi="黑体" w:eastAsia="黑体"/>
        </w:rPr>
      </w:pPr>
    </w:p>
    <w:p>
      <w:pPr>
        <w:spacing w:line="64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《文明旅游示范单位要求与评价》</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（LB/T 075-2019）评定细则</w:t>
      </w:r>
    </w:p>
    <w:bookmarkEnd w:id="0"/>
    <w:p>
      <w:pPr>
        <w:spacing w:line="560" w:lineRule="exact"/>
        <w:jc w:val="center"/>
        <w:outlineLvl w:val="0"/>
        <w:rPr>
          <w:rFonts w:hint="eastAsia" w:ascii="黑体" w:hAnsi="黑体" w:eastAsia="黑体" w:cs="等线 Light"/>
          <w:sz w:val="36"/>
          <w:szCs w:val="36"/>
        </w:rPr>
      </w:pPr>
      <w:r>
        <w:rPr>
          <w:rFonts w:hint="eastAsia" w:ascii="黑体" w:hAnsi="黑体" w:eastAsia="黑体" w:cs="等线 Light"/>
          <w:sz w:val="36"/>
          <w:szCs w:val="36"/>
        </w:rPr>
        <w:t xml:space="preserve"> </w:t>
      </w:r>
    </w:p>
    <w:p>
      <w:pPr>
        <w:spacing w:line="560" w:lineRule="exact"/>
        <w:jc w:val="center"/>
        <w:outlineLvl w:val="0"/>
        <w:rPr>
          <w:rFonts w:hint="eastAsia" w:ascii="黑体" w:hAnsi="黑体" w:eastAsia="黑体" w:cs="等线 Light"/>
          <w:sz w:val="36"/>
          <w:szCs w:val="36"/>
        </w:rPr>
      </w:pPr>
      <w:r>
        <w:rPr>
          <w:rFonts w:hint="eastAsia" w:ascii="黑体" w:hAnsi="黑体" w:eastAsia="黑体" w:cs="等线 Light"/>
          <w:sz w:val="36"/>
          <w:szCs w:val="36"/>
        </w:rPr>
        <w:t xml:space="preserve"> </w:t>
      </w:r>
    </w:p>
    <w:p>
      <w:pPr>
        <w:spacing w:line="560" w:lineRule="exact"/>
        <w:jc w:val="center"/>
        <w:outlineLvl w:val="0"/>
        <w:rPr>
          <w:rFonts w:hint="eastAsia" w:ascii="黑体" w:hAnsi="黑体" w:eastAsia="黑体" w:cs="等线 Light"/>
          <w:sz w:val="36"/>
          <w:szCs w:val="36"/>
        </w:rPr>
      </w:pPr>
      <w:r>
        <w:rPr>
          <w:rFonts w:hint="eastAsia" w:ascii="黑体" w:hAnsi="黑体" w:eastAsia="黑体" w:cs="等线 Light"/>
          <w:sz w:val="36"/>
          <w:szCs w:val="36"/>
        </w:rPr>
        <w:t xml:space="preserve"> </w:t>
      </w:r>
    </w:p>
    <w:p>
      <w:pPr>
        <w:spacing w:line="560" w:lineRule="exact"/>
        <w:jc w:val="center"/>
        <w:outlineLvl w:val="0"/>
        <w:rPr>
          <w:rFonts w:hint="eastAsia" w:ascii="黑体" w:hAnsi="黑体" w:eastAsia="黑体" w:cs="等线 Light"/>
          <w:sz w:val="36"/>
          <w:szCs w:val="36"/>
        </w:rPr>
      </w:pPr>
      <w:r>
        <w:rPr>
          <w:rFonts w:hint="eastAsia" w:ascii="黑体" w:hAnsi="黑体" w:eastAsia="黑体" w:cs="等线 Light"/>
          <w:sz w:val="36"/>
          <w:szCs w:val="36"/>
        </w:rPr>
        <w:t xml:space="preserve"> </w:t>
      </w:r>
    </w:p>
    <w:p>
      <w:pPr>
        <w:rPr>
          <w:rFonts w:hint="eastAsia"/>
          <w:sz w:val="36"/>
          <w:szCs w:val="36"/>
        </w:rPr>
      </w:pPr>
      <w:r>
        <w:rPr>
          <w:sz w:val="36"/>
          <w:szCs w:val="36"/>
        </w:rPr>
        <w:t xml:space="preserve"> </w:t>
      </w: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keepNext w:val="0"/>
        <w:keepLines w:val="0"/>
        <w:pageBreakBefore w:val="0"/>
        <w:kinsoku/>
        <w:wordWrap/>
        <w:overflowPunct/>
        <w:topLinePunct w:val="0"/>
        <w:autoSpaceDE/>
        <w:autoSpaceDN/>
        <w:bidi w:val="0"/>
        <w:adjustRightInd/>
        <w:snapToGrid/>
        <w:spacing w:line="700" w:lineRule="exact"/>
        <w:jc w:val="center"/>
        <w:textAlignment w:val="auto"/>
        <w:outlineLvl w:val="9"/>
        <w:rPr>
          <w:sz w:val="32"/>
          <w:szCs w:val="32"/>
        </w:rPr>
      </w:pPr>
      <w:r>
        <w:rPr>
          <w:sz w:val="32"/>
          <w:szCs w:val="32"/>
        </w:rPr>
        <w:t xml:space="preserve"> </w:t>
      </w:r>
    </w:p>
    <w:p>
      <w:pPr>
        <w:keepNext w:val="0"/>
        <w:keepLines w:val="0"/>
        <w:pageBreakBefore w:val="0"/>
        <w:kinsoku/>
        <w:wordWrap/>
        <w:overflowPunct/>
        <w:topLinePunct w:val="0"/>
        <w:autoSpaceDE/>
        <w:autoSpaceDN/>
        <w:bidi w:val="0"/>
        <w:adjustRightInd/>
        <w:snapToGrid/>
        <w:spacing w:line="700" w:lineRule="exact"/>
        <w:jc w:val="center"/>
        <w:textAlignment w:val="auto"/>
        <w:outlineLvl w:val="9"/>
        <w:rPr>
          <w:rFonts w:ascii="仿宋_GB2312"/>
          <w:b/>
          <w:bCs/>
          <w:sz w:val="32"/>
          <w:szCs w:val="32"/>
        </w:rPr>
      </w:pPr>
      <w:r>
        <w:rPr>
          <w:rFonts w:hint="eastAsia" w:ascii="仿宋_GB2312"/>
          <w:b/>
          <w:bCs/>
          <w:sz w:val="32"/>
          <w:szCs w:val="32"/>
        </w:rPr>
        <w:t>文化和旅游部</w:t>
      </w:r>
    </w:p>
    <w:p>
      <w:pPr>
        <w:keepNext w:val="0"/>
        <w:keepLines w:val="0"/>
        <w:pageBreakBefore w:val="0"/>
        <w:kinsoku/>
        <w:wordWrap/>
        <w:overflowPunct/>
        <w:topLinePunct w:val="0"/>
        <w:autoSpaceDE/>
        <w:autoSpaceDN/>
        <w:bidi w:val="0"/>
        <w:adjustRightInd/>
        <w:snapToGrid/>
        <w:spacing w:line="700" w:lineRule="exact"/>
        <w:jc w:val="center"/>
        <w:textAlignment w:val="auto"/>
        <w:outlineLvl w:val="9"/>
        <w:rPr>
          <w:rFonts w:hint="eastAsia" w:ascii="仿宋_GB2312"/>
          <w:b/>
          <w:bCs/>
          <w:sz w:val="32"/>
          <w:szCs w:val="32"/>
        </w:rPr>
      </w:pPr>
      <w:r>
        <w:rPr>
          <w:rFonts w:hint="eastAsia" w:ascii="仿宋_GB2312"/>
          <w:b/>
          <w:bCs/>
          <w:sz w:val="32"/>
          <w:szCs w:val="32"/>
        </w:rPr>
        <w:t>2021年3月</w:t>
      </w:r>
    </w:p>
    <w:p>
      <w:pPr>
        <w:keepNext w:val="0"/>
        <w:keepLines w:val="0"/>
        <w:pageBreakBefore w:val="0"/>
        <w:widowControl/>
        <w:kinsoku/>
        <w:wordWrap/>
        <w:overflowPunct/>
        <w:topLinePunct w:val="0"/>
        <w:autoSpaceDE/>
        <w:autoSpaceDN/>
        <w:bidi w:val="0"/>
        <w:adjustRightInd/>
        <w:snapToGrid/>
        <w:spacing w:line="700" w:lineRule="exact"/>
        <w:jc w:val="left"/>
        <w:textAlignment w:val="auto"/>
        <w:outlineLvl w:val="9"/>
        <w:rPr>
          <w:rFonts w:ascii="仿宋_GB2312" w:hAnsi="宋体" w:cs="宋体"/>
          <w:b/>
          <w:bCs/>
          <w:sz w:val="32"/>
          <w:szCs w:val="32"/>
        </w:rPr>
        <w:sectPr>
          <w:pgSz w:w="11906" w:h="16838"/>
          <w:pgMar w:top="2098" w:right="1531" w:bottom="1701" w:left="1531" w:header="851" w:footer="992" w:gutter="0"/>
          <w:cols w:space="720" w:num="1"/>
          <w:docGrid w:type="lines" w:linePitch="312" w:charSpace="0"/>
        </w:sectPr>
      </w:pPr>
    </w:p>
    <w:p>
      <w:pPr>
        <w:spacing w:line="4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1.文明旅游示范单位评价指标包括5类基本项目、附加项目和负面清单，5类基本项目合计900分，附加项目加分合计100分，负面清单按照相关指标取消申报资格或扣减分数。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2.5类基本项目及分值安排为：制度建设（100分）、卫生环境（150分）、服务质量（250分）、宣传引导（250分）、实践活动（150分）。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级文明旅游示范单位950分达标，其中：基本项目总分不低于855分，每项基本项目的得分率分别不低于85%；省级文明旅游示范单位800分达标，其中：基本项目总分不低于720分；每项基本项目的得分率分别不低于75%。</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4.负面清单是评价文明旅游示范单位的重要方面，文明旅游负面清单管理措施见附表。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打分方式：文档检查项目采用得分方式，检查可以作为得分支撑的图片、视频、文件、新闻报道等材料；文档、现场综合检查项目采用先文档检查得分，再现场检查减分方式；现场检查项目为减分方式；加分项目为加分方式。《文明旅游负面清单管理措施》实行承诺制，检查发现问题，按照惩戒办法执行。</w:t>
      </w:r>
    </w:p>
    <w:p>
      <w:pPr>
        <w:widowControl/>
        <w:spacing w:line="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6"/>
        <w:gridCol w:w="1954"/>
        <w:gridCol w:w="3053"/>
        <w:gridCol w:w="567"/>
        <w:gridCol w:w="567"/>
        <w:gridCol w:w="773"/>
        <w:gridCol w:w="64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序号</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内容</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评分标准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大项分值</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分项分值</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次分项分值</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分档分值</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b/>
                <w:bCs/>
                <w:kern w:val="0"/>
                <w:sz w:val="24"/>
                <w:szCs w:val="24"/>
              </w:rPr>
            </w:pPr>
            <w:r>
              <w:rPr>
                <w:rFonts w:hint="eastAsia" w:ascii="仿宋_GB2312"/>
                <w:b/>
                <w:bCs/>
                <w:kern w:val="0"/>
                <w:sz w:val="24"/>
                <w:szCs w:val="24"/>
              </w:rPr>
              <w:t>验收方法</w:t>
            </w:r>
          </w:p>
          <w:p>
            <w:pPr>
              <w:widowControl/>
              <w:jc w:val="center"/>
              <w:rPr>
                <w:rFonts w:ascii="仿宋_GB2312" w:hAnsi="Calibri"/>
                <w:kern w:val="0"/>
                <w:sz w:val="24"/>
                <w:szCs w:val="24"/>
              </w:rPr>
            </w:pPr>
            <w:r>
              <w:rPr>
                <w:rFonts w:hint="eastAsia" w:ascii="仿宋_GB2312"/>
                <w:b/>
                <w:bCs/>
                <w:kern w:val="0"/>
                <w:sz w:val="24"/>
                <w:szCs w:val="24"/>
              </w:rPr>
              <w:t>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制度建设</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100</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专项方案和绩效考核</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1.1.1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专项方案</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有文明旅游工作专项方案，方案内容详实，操作性强。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1.1.2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绩效考核</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文明旅游工作纳入绩效考核并严格实施，效果良好。</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12</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职业道德规范</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有符合社会主义核心价值观、体现本单位特色的职业道德基本规范。内容完善，涉及全面，操作性强。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培训考核制度</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有涉及服务、管理、安全等内容的员工培训考核制度，并严格执行。每缺一项扣5分。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培训规范</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1.4.1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培训范围</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管理人员及服务人员年度培训比例。分档计分。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大于90%。</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大于75%。</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7</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75%及以下。</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1.4.2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培训内容</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职业道德、业务知识、文明服务、安全教育等培训内容全面。每缺1项培训扣1分。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1.4.3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培训效果</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采取随机抽查的方式，考察员工培训效果。分档计分。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掌握。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基本掌握。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不掌握。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宣传教育活动</w:t>
            </w:r>
          </w:p>
        </w:tc>
        <w:tc>
          <w:tcPr>
            <w:tcW w:w="3053" w:type="dxa"/>
            <w:tcBorders>
              <w:top w:val="single" w:color="auto" w:sz="4" w:space="0"/>
              <w:left w:val="nil"/>
              <w:bottom w:val="single" w:color="auto" w:sz="4" w:space="0"/>
              <w:right w:val="single" w:color="auto" w:sz="4" w:space="0"/>
            </w:tcBorders>
            <w:noWrap w:val="0"/>
            <w:vAlign w:val="center"/>
          </w:tcPr>
          <w:p>
            <w:pPr>
              <w:pStyle w:val="5"/>
              <w:jc w:val="both"/>
              <w:rPr>
                <w:rFonts w:ascii="仿宋_GB2312" w:eastAsia="仿宋_GB2312"/>
                <w:color w:val="000000"/>
                <w:sz w:val="24"/>
                <w:szCs w:val="24"/>
              </w:rPr>
            </w:pPr>
            <w:r>
              <w:rPr>
                <w:rFonts w:hint="eastAsia" w:ascii="仿宋_GB2312" w:eastAsia="仿宋_GB2312"/>
                <w:color w:val="000000"/>
                <w:sz w:val="24"/>
                <w:szCs w:val="24"/>
              </w:rPr>
              <w:t>有具备行业特色、职业特点的社会主义核心价值观宣传教育活动（有报道、有图片、有记录）。分档计分。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z w:val="24"/>
                <w:szCs w:val="24"/>
              </w:rPr>
              <w:t>一年7次及以上。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z w:val="24"/>
                <w:szCs w:val="24"/>
              </w:rPr>
              <w:t>一年3-6次。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9</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1.6</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应急预案和演练</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1.6.1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应急预案</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有突发事件处置应急预案（突发事件应包括自然灾害、事故灾难、公共卫生事件和社会安全事件等）。预案详实具体，切合实际，操作性强。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1.6.2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定期演练</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有年度突发事件应急演练实施计划，并定期演练。分档计分。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z w:val="24"/>
                <w:szCs w:val="24"/>
              </w:rPr>
              <w:t>一年2次及以上。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一年1次。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卫生环境</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150</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2.1</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环境维护</w:t>
            </w:r>
          </w:p>
        </w:tc>
        <w:tc>
          <w:tcPr>
            <w:tcW w:w="3053"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2.1.1</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卫生环境秩序</w:t>
            </w:r>
          </w:p>
        </w:tc>
        <w:tc>
          <w:tcPr>
            <w:tcW w:w="3053" w:type="dxa"/>
            <w:tcBorders>
              <w:top w:val="single" w:color="auto" w:sz="4" w:space="0"/>
              <w:left w:val="nil"/>
              <w:bottom w:val="single" w:color="auto" w:sz="4" w:space="0"/>
              <w:right w:val="single" w:color="auto" w:sz="4" w:space="0"/>
            </w:tcBorders>
            <w:noWrap w:val="0"/>
            <w:vAlign w:val="center"/>
          </w:tcPr>
          <w:p>
            <w:pPr>
              <w:pStyle w:val="5"/>
              <w:jc w:val="both"/>
              <w:rPr>
                <w:rFonts w:ascii="仿宋_GB2312" w:eastAsia="仿宋_GB2312"/>
                <w:color w:val="000000"/>
                <w:sz w:val="24"/>
                <w:szCs w:val="24"/>
              </w:rPr>
            </w:pPr>
            <w:r>
              <w:rPr>
                <w:rFonts w:hint="eastAsia" w:ascii="仿宋_GB2312" w:eastAsia="仿宋_GB2312"/>
                <w:color w:val="000000"/>
                <w:sz w:val="24"/>
                <w:szCs w:val="24"/>
              </w:rPr>
              <w:t>环境干净整洁，无卫生死角，无乱写乱画、乱摆乱放、乱搭乱建现象。每发现1处不符合扣2分。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2.1.2</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建筑风貌</w:t>
            </w:r>
          </w:p>
        </w:tc>
        <w:tc>
          <w:tcPr>
            <w:tcW w:w="3053" w:type="dxa"/>
            <w:tcBorders>
              <w:top w:val="single" w:color="auto" w:sz="4" w:space="0"/>
              <w:left w:val="nil"/>
              <w:bottom w:val="single" w:color="auto" w:sz="4" w:space="0"/>
              <w:right w:val="single" w:color="auto" w:sz="4" w:space="0"/>
            </w:tcBorders>
            <w:noWrap w:val="0"/>
            <w:vAlign w:val="center"/>
          </w:tcPr>
          <w:p>
            <w:pPr>
              <w:pStyle w:val="5"/>
              <w:jc w:val="both"/>
              <w:rPr>
                <w:rFonts w:ascii="仿宋_GB2312" w:eastAsia="仿宋_GB2312"/>
                <w:color w:val="000000"/>
                <w:sz w:val="24"/>
                <w:szCs w:val="24"/>
              </w:rPr>
            </w:pPr>
            <w:r>
              <w:rPr>
                <w:rFonts w:hint="eastAsia" w:ascii="仿宋_GB2312" w:eastAsia="仿宋_GB2312"/>
                <w:color w:val="000000"/>
                <w:sz w:val="24"/>
                <w:szCs w:val="24"/>
              </w:rPr>
              <w:t>建筑风貌、装饰风格与整体环境相协调。每</w:t>
            </w:r>
            <w:r>
              <w:rPr>
                <w:rFonts w:hint="eastAsia" w:ascii="仿宋_GB2312" w:eastAsia="仿宋_GB2312"/>
                <w:color w:val="000000"/>
                <w:spacing w:val="-6"/>
                <w:sz w:val="24"/>
                <w:szCs w:val="24"/>
              </w:rPr>
              <w:t>发现1处不得当扣2分</w:t>
            </w:r>
            <w:r>
              <w:rPr>
                <w:rFonts w:hint="eastAsia" w:ascii="仿宋_GB2312" w:eastAsia="仿宋_GB2312"/>
                <w:color w:val="000000"/>
                <w:sz w:val="24"/>
                <w:szCs w:val="24"/>
              </w:rPr>
              <w:t>。</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2.2</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垃圾箱</w:t>
            </w:r>
          </w:p>
        </w:tc>
        <w:tc>
          <w:tcPr>
            <w:tcW w:w="3053"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2.2.1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布局、数量</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布局合理，数量充足，与周边环境相协调。每</w:t>
            </w:r>
            <w:r>
              <w:rPr>
                <w:rFonts w:hint="eastAsia" w:ascii="仿宋_GB2312"/>
                <w:spacing w:val="-6"/>
                <w:sz w:val="24"/>
                <w:szCs w:val="24"/>
              </w:rPr>
              <w:t>发现1处不足扣1分。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2.2.2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材质、分类设置</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有采用环保材料制作的分类式垃圾箱。每</w:t>
            </w:r>
            <w:r>
              <w:rPr>
                <w:rFonts w:hint="eastAsia" w:ascii="仿宋_GB2312"/>
                <w:spacing w:val="-6"/>
                <w:sz w:val="24"/>
                <w:szCs w:val="24"/>
              </w:rPr>
              <w:t>发现1处不足扣1分。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2.3</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垃圾处理</w:t>
            </w:r>
          </w:p>
        </w:tc>
        <w:tc>
          <w:tcPr>
            <w:tcW w:w="3053"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pacing w:val="-6"/>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2.3.1</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pStyle w:val="5"/>
              <w:jc w:val="both"/>
              <w:rPr>
                <w:rFonts w:ascii="仿宋_GB2312" w:eastAsia="仿宋_GB2312"/>
                <w:color w:val="000000"/>
                <w:sz w:val="24"/>
                <w:szCs w:val="24"/>
              </w:rPr>
            </w:pPr>
            <w:r>
              <w:rPr>
                <w:rFonts w:hint="eastAsia" w:ascii="仿宋_GB2312" w:eastAsia="仿宋_GB2312"/>
                <w:color w:val="000000"/>
                <w:sz w:val="24"/>
                <w:szCs w:val="24"/>
              </w:rPr>
              <w:t>垃圾清理及时，日产日清，整体环境整洁、卫生、美观。每</w:t>
            </w:r>
            <w:r>
              <w:rPr>
                <w:rFonts w:hint="eastAsia" w:ascii="仿宋_GB2312" w:eastAsia="仿宋_GB2312"/>
                <w:color w:val="000000"/>
                <w:spacing w:val="-6"/>
                <w:sz w:val="24"/>
                <w:szCs w:val="24"/>
              </w:rPr>
              <w:t>发现1处不足扣2分。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2.3.2</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pStyle w:val="5"/>
              <w:jc w:val="both"/>
              <w:rPr>
                <w:rFonts w:ascii="仿宋_GB2312" w:eastAsia="仿宋_GB2312"/>
                <w:color w:val="000000"/>
                <w:sz w:val="24"/>
                <w:szCs w:val="24"/>
              </w:rPr>
            </w:pPr>
            <w:r>
              <w:rPr>
                <w:rFonts w:hint="eastAsia" w:ascii="仿宋_GB2312" w:eastAsia="仿宋_GB2312"/>
                <w:color w:val="000000"/>
                <w:sz w:val="24"/>
                <w:szCs w:val="24"/>
              </w:rPr>
              <w:t>科学进行垃圾分类。</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2.4</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制度执行</w:t>
            </w:r>
          </w:p>
        </w:tc>
        <w:tc>
          <w:tcPr>
            <w:tcW w:w="3053" w:type="dxa"/>
            <w:tcBorders>
              <w:top w:val="single" w:color="auto" w:sz="4" w:space="0"/>
              <w:left w:val="nil"/>
              <w:bottom w:val="single" w:color="auto" w:sz="4" w:space="0"/>
              <w:right w:val="single" w:color="auto" w:sz="4" w:space="0"/>
            </w:tcBorders>
            <w:noWrap w:val="0"/>
            <w:vAlign w:val="center"/>
          </w:tcPr>
          <w:p>
            <w:pPr>
              <w:pStyle w:val="5"/>
              <w:jc w:val="both"/>
              <w:rPr>
                <w:rFonts w:ascii="仿宋_GB2312" w:eastAsia="仿宋_GB2312"/>
                <w:color w:val="000000"/>
                <w:sz w:val="24"/>
                <w:szCs w:val="24"/>
              </w:rPr>
            </w:pPr>
            <w:r>
              <w:rPr>
                <w:rFonts w:hint="eastAsia" w:ascii="仿宋_GB2312" w:eastAsia="仿宋_GB2312"/>
                <w:color w:val="000000"/>
                <w:sz w:val="24"/>
                <w:szCs w:val="24"/>
              </w:rPr>
              <w:t>卫生责任制度和卫生检查制度实施效果良好，落实环保责任人，定期进行卫生检查。每</w:t>
            </w:r>
            <w:r>
              <w:rPr>
                <w:rFonts w:hint="eastAsia" w:ascii="仿宋_GB2312" w:eastAsia="仿宋_GB2312"/>
                <w:color w:val="000000"/>
                <w:spacing w:val="-6"/>
                <w:sz w:val="24"/>
                <w:szCs w:val="24"/>
              </w:rPr>
              <w:t>发现1处不足扣2分。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2.5</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r>
              <w:rPr>
                <w:rFonts w:hint="eastAsia" w:ascii="仿宋_GB2312"/>
                <w:sz w:val="24"/>
                <w:szCs w:val="24"/>
              </w:rPr>
              <w:t>卫生间</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z w:val="24"/>
                <w:szCs w:val="24"/>
              </w:rPr>
              <w:t>旅游景区、星级旅游饭店、其他涉旅单位分类打分。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50</w:t>
            </w: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r>
              <w:rPr>
                <w:rFonts w:hint="eastAsia" w:ascii="仿宋_GB2312"/>
                <w:sz w:val="24"/>
                <w:szCs w:val="24"/>
              </w:rPr>
              <w:t>旅游景区</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sz w:val="24"/>
                <w:szCs w:val="24"/>
              </w:rPr>
            </w:pPr>
            <w:r>
              <w:rPr>
                <w:rFonts w:hint="eastAsia" w:ascii="仿宋_GB2312"/>
                <w:sz w:val="24"/>
                <w:szCs w:val="24"/>
              </w:rPr>
              <w:t>卫生间建设与分布符合《旅游厕所质量等级的划分与评定》（GB/T 18973）A级旅游厕所的规定和《旅游区（点）质量等级的划分与评定》（GB/T 17775）相应等级的规定。</w:t>
            </w:r>
            <w:r>
              <w:rPr>
                <w:rFonts w:hint="eastAsia" w:ascii="仿宋_GB2312"/>
                <w:kern w:val="0"/>
                <w:sz w:val="24"/>
                <w:szCs w:val="24"/>
              </w:rPr>
              <w:t>每</w:t>
            </w:r>
            <w:r>
              <w:rPr>
                <w:rFonts w:hint="eastAsia" w:ascii="仿宋_GB2312"/>
                <w:spacing w:val="-6"/>
                <w:sz w:val="24"/>
                <w:szCs w:val="24"/>
              </w:rPr>
              <w:t>发现1处不符合扣5分。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50</w:t>
            </w: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r>
              <w:rPr>
                <w:rFonts w:hint="eastAsia" w:ascii="仿宋_GB2312"/>
                <w:sz w:val="24"/>
                <w:szCs w:val="24"/>
              </w:rPr>
              <w:t>星级旅游饭店</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z w:val="24"/>
                <w:szCs w:val="24"/>
              </w:rPr>
              <w:t>卫生间建设与分布符合《旅游饭店星级的划分与评定》（GB/T14308）相应星级的规定。</w:t>
            </w:r>
            <w:r>
              <w:rPr>
                <w:rFonts w:hint="eastAsia" w:ascii="仿宋_GB2312"/>
                <w:kern w:val="0"/>
                <w:sz w:val="24"/>
                <w:szCs w:val="24"/>
              </w:rPr>
              <w:t>每</w:t>
            </w:r>
            <w:r>
              <w:rPr>
                <w:rFonts w:hint="eastAsia" w:ascii="仿宋_GB2312"/>
                <w:spacing w:val="-6"/>
                <w:sz w:val="24"/>
                <w:szCs w:val="24"/>
              </w:rPr>
              <w:t>发现1处不符合扣5分。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50</w:t>
            </w: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r>
              <w:rPr>
                <w:rFonts w:hint="eastAsia" w:ascii="仿宋_GB2312"/>
                <w:sz w:val="24"/>
                <w:szCs w:val="24"/>
              </w:rPr>
              <w:t>其他涉旅单位</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z w:val="24"/>
                <w:szCs w:val="24"/>
              </w:rPr>
              <w:t>卫生间数量充足、分布合理，设备运行良好，男女厕位比例符合规定，如厕环境干净、卫生、无异味，倡导文明如厕，管理有效。</w:t>
            </w:r>
            <w:r>
              <w:rPr>
                <w:rFonts w:hint="eastAsia" w:ascii="仿宋_GB2312"/>
                <w:kern w:val="0"/>
                <w:sz w:val="24"/>
                <w:szCs w:val="24"/>
              </w:rPr>
              <w:t>每</w:t>
            </w:r>
            <w:r>
              <w:rPr>
                <w:rFonts w:hint="eastAsia" w:ascii="仿宋_GB2312"/>
                <w:spacing w:val="-6"/>
                <w:sz w:val="24"/>
                <w:szCs w:val="24"/>
              </w:rPr>
              <w:t>发现1处不符合扣5分。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50</w:t>
            </w: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服务质量</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250</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经营管理</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诚信经营，明码标价，无不文明经营行为。每发现1例不文明经营现象扣4分。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机构完善</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3.2.1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客户服务机构</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有客户服务机构，指定专人负责咨询服务、投诉处理等工作。</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3.2.2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投诉电话和意见箱</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醒目位置公布投诉电话、旅游服务热线12301和旅游者意见箱。</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处理规范</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投诉处理</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3.3.1.1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在12小时内受理投诉，特殊情况下不超过24小时。每发现1例不符合扣1分。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3.3.1.2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件件有反馈。每发现1处未反馈扣1分。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3.3.1.3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投诉处理效果。累计计分。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pacing w:val="-6"/>
                <w:sz w:val="24"/>
                <w:szCs w:val="24"/>
              </w:rPr>
              <w:t>投诉处理记录完整规范。</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针对投诉涉及的普遍性问题制定整改措施。</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投诉处理依法依规、服务态度好。可向投诉人员了解反馈意见。</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满意度调查</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本部分被评价单位可以自行开展或以第三方网评作支撑材料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3.3.2.1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 xml:space="preserve">征询方式不少于两种，可以采取纸质征询、在线征询等方式。                                                                                                                                                                                                                                                                                                                                                                                                                                                                                                                                                                                                                                                                                                                                                                                                                                                                                                                                                                                                                                                                                                                                                                                                                                                                                                                                                                                                                                                                                                                                    </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3.3.2.2</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样本量符合接待规模（总量达到全年接待量的1/1000）。</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3.3.2.3</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征询意见有分析、有通报、有改进措施。</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服务规范</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从业人员仪态规范、热情周到、语言恰当。现场检查不符合酌情扣分。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3.5</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尊重旅游者</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尊重旅游者民族风俗、宗教信仰。每发现一例不符合扣5分。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3.6</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语言规范</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使用文明用语，提供普通话服务，得10分。提供两种及以上其他语种服务，每种得5分，最多得10分。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3.7</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人性化服务</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为老人、儿童、孕妇、残障人士等特殊人群提供相应的人性化服务。每发现1处不足扣4分。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3.8</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无障碍设施</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无障碍设施符合《无障碍设计规范》（GB 50763）的规定。每</w:t>
            </w:r>
            <w:r>
              <w:rPr>
                <w:rFonts w:hint="eastAsia" w:ascii="仿宋_GB2312"/>
                <w:spacing w:val="-6"/>
                <w:sz w:val="24"/>
                <w:szCs w:val="24"/>
              </w:rPr>
              <w:t>发现1处不符合扣5分。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3.9</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标识规范</w:t>
            </w:r>
          </w:p>
        </w:tc>
        <w:tc>
          <w:tcPr>
            <w:tcW w:w="3053"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3.9.1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sz w:val="24"/>
                <w:szCs w:val="24"/>
              </w:rPr>
            </w:pPr>
            <w:r>
              <w:rPr>
                <w:rFonts w:hint="eastAsia" w:ascii="仿宋_GB2312"/>
                <w:sz w:val="24"/>
                <w:szCs w:val="24"/>
              </w:rPr>
              <w:t>公共信息</w:t>
            </w:r>
          </w:p>
          <w:p>
            <w:pPr>
              <w:widowControl/>
              <w:jc w:val="center"/>
              <w:rPr>
                <w:rFonts w:ascii="仿宋_GB2312" w:hAnsi="Calibri"/>
                <w:sz w:val="24"/>
                <w:szCs w:val="24"/>
              </w:rPr>
            </w:pPr>
            <w:r>
              <w:rPr>
                <w:rFonts w:hint="eastAsia" w:ascii="仿宋_GB2312"/>
                <w:sz w:val="24"/>
                <w:szCs w:val="24"/>
              </w:rPr>
              <w:t>图形符号</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sz w:val="24"/>
                <w:szCs w:val="24"/>
              </w:rPr>
            </w:pPr>
            <w:r>
              <w:rPr>
                <w:rFonts w:hint="eastAsia" w:ascii="仿宋_GB2312"/>
                <w:sz w:val="24"/>
                <w:szCs w:val="24"/>
              </w:rPr>
              <w:t>公共信息图形符号的使用符合《公共信息图形符号第1部分：通用符号》（GB/T 10001.1）、《标志用公共信息图形符号第2部分：旅游休闲符号》（GB/T 10001.2）和《标志用公共信息图形符号 第9部分：无障碍设施符号》（GB/T 10001.9）的规定。</w:t>
            </w:r>
            <w:r>
              <w:rPr>
                <w:rFonts w:hint="eastAsia" w:ascii="仿宋_GB2312"/>
                <w:kern w:val="0"/>
                <w:sz w:val="24"/>
                <w:szCs w:val="24"/>
              </w:rPr>
              <w:t>每</w:t>
            </w:r>
            <w:r>
              <w:rPr>
                <w:rFonts w:hint="eastAsia" w:ascii="仿宋_GB2312"/>
                <w:sz w:val="24"/>
                <w:szCs w:val="24"/>
              </w:rPr>
              <w:t>发现1处应设未设或不符合规范扣3分。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3.9.2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r>
              <w:rPr>
                <w:rFonts w:hint="eastAsia" w:ascii="仿宋_GB2312"/>
                <w:sz w:val="24"/>
                <w:szCs w:val="24"/>
              </w:rPr>
              <w:t>安全警示标志</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sz w:val="24"/>
                <w:szCs w:val="24"/>
              </w:rPr>
              <w:t>易发生危险的区域和设施设置安全警示标志，安全标志符合《安全标志及其使用导则》（GB 2894）的规定。</w:t>
            </w:r>
            <w:r>
              <w:rPr>
                <w:rFonts w:hint="eastAsia" w:ascii="仿宋_GB2312"/>
                <w:kern w:val="0"/>
                <w:sz w:val="24"/>
                <w:szCs w:val="24"/>
              </w:rPr>
              <w:t>每</w:t>
            </w:r>
            <w:r>
              <w:rPr>
                <w:rFonts w:hint="eastAsia" w:ascii="仿宋_GB2312"/>
                <w:sz w:val="24"/>
                <w:szCs w:val="24"/>
              </w:rPr>
              <w:t>发现1处应设未设或不符合规范扣3分。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宣传引导</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250</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宣传要求</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4.1.1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宣传氛围</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广泛普及文明知识、礼仪常识，文明旅游宣传氛围浓厚。</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文明礼仪知识普及一般，文明旅游宣传氛围一般。</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4.1.2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宣传形式</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4.1.2.1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本单位网站设有专栏，并每月更新。</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4.1.2.2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本单位微信公众号设有专栏，并每月更新。</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4.1.2.3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宣传形式多样，并定期更新。</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典型案例</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4.2.1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文明宣传</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开展文明旅游典型事迹宣传。</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4.2.2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不文明警示</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开展不文明行为警示教育。</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宣传品种类</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3种以上。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1-3种（含3种）。</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kern w:val="0"/>
                <w:sz w:val="24"/>
                <w:szCs w:val="24"/>
              </w:rPr>
            </w:pPr>
            <w:r>
              <w:rPr>
                <w:rFonts w:hint="eastAsia" w:ascii="仿宋_GB2312"/>
                <w:kern w:val="0"/>
                <w:sz w:val="24"/>
                <w:szCs w:val="24"/>
              </w:rPr>
              <w:t>文明旅游公益</w:t>
            </w:r>
          </w:p>
          <w:p>
            <w:pPr>
              <w:widowControl/>
              <w:jc w:val="center"/>
              <w:rPr>
                <w:rFonts w:ascii="仿宋_GB2312" w:hAnsi="Calibri"/>
                <w:kern w:val="0"/>
                <w:sz w:val="24"/>
                <w:szCs w:val="24"/>
              </w:rPr>
            </w:pPr>
            <w:r>
              <w:rPr>
                <w:rFonts w:hint="eastAsia" w:ascii="仿宋_GB2312"/>
                <w:kern w:val="0"/>
                <w:sz w:val="24"/>
                <w:szCs w:val="24"/>
              </w:rPr>
              <w:t>宣传片播放</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根据经营特点播放文明旅游公益宣传片。累计计分。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4.4.1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播放地点</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有固定播放设施和场所。</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4.4.2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播放时间</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经营期间，每天定时播放。</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4.5</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自创宣传品</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3种以上。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1-3种（含3种）。</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无自创宣传品。</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文明引导</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本项指标针对旅行社、星级旅游饭店、旅游景区的文明引导设计，其它涉旅单位参照执行。分类计分。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120</w:t>
            </w: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旅行社</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b/>
                <w:bCs/>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b/>
                <w:bCs/>
                <w:kern w:val="0"/>
                <w:sz w:val="24"/>
                <w:szCs w:val="24"/>
              </w:rPr>
            </w:pPr>
            <w:r>
              <w:rPr>
                <w:rFonts w:hint="eastAsia" w:ascii="仿宋_GB2312"/>
                <w:b/>
                <w:bCs/>
                <w:kern w:val="0"/>
                <w:sz w:val="24"/>
                <w:szCs w:val="24"/>
              </w:rPr>
              <w:t>120</w:t>
            </w: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b/>
                <w:bCs/>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w:t>
            </w:r>
          </w:p>
        </w:tc>
        <w:tc>
          <w:tcPr>
            <w:tcW w:w="1954"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组团环节</w:t>
            </w:r>
          </w:p>
        </w:tc>
        <w:tc>
          <w:tcPr>
            <w:tcW w:w="305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25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4.6.1.1</w:t>
            </w:r>
          </w:p>
        </w:tc>
        <w:tc>
          <w:tcPr>
            <w:tcW w:w="1954" w:type="dxa"/>
            <w:tcBorders>
              <w:top w:val="single" w:color="auto" w:sz="4" w:space="0"/>
              <w:left w:val="nil"/>
              <w:bottom w:val="single" w:color="auto" w:sz="4" w:space="0"/>
              <w:right w:val="single" w:color="auto" w:sz="4" w:space="0"/>
            </w:tcBorders>
            <w:noWrap w:val="0"/>
            <w:vAlign w:val="center"/>
          </w:tcPr>
          <w:p>
            <w:pPr>
              <w:pStyle w:val="9"/>
              <w:ind w:firstLine="0" w:firstLineChars="0"/>
              <w:jc w:val="center"/>
              <w:rPr>
                <w:rFonts w:ascii="仿宋_GB2312" w:eastAsia="仿宋_GB2312"/>
                <w:color w:val="000000"/>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pStyle w:val="9"/>
              <w:ind w:firstLine="0" w:firstLineChars="0"/>
              <w:rPr>
                <w:rFonts w:ascii="仿宋_GB2312" w:eastAsia="仿宋_GB2312"/>
                <w:color w:val="000000"/>
                <w:kern w:val="0"/>
                <w:sz w:val="24"/>
                <w:szCs w:val="24"/>
              </w:rPr>
            </w:pPr>
            <w:r>
              <w:rPr>
                <w:rFonts w:hint="eastAsia" w:ascii="仿宋_GB2312" w:eastAsia="仿宋_GB2312"/>
                <w:color w:val="000000"/>
                <w:kern w:val="0"/>
                <w:sz w:val="24"/>
                <w:szCs w:val="24"/>
              </w:rPr>
              <w:t>有行前说明会制度。</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4.6.1.2</w:t>
            </w:r>
          </w:p>
        </w:tc>
        <w:tc>
          <w:tcPr>
            <w:tcW w:w="1954" w:type="dxa"/>
            <w:tcBorders>
              <w:top w:val="single" w:color="auto" w:sz="4" w:space="0"/>
              <w:left w:val="nil"/>
              <w:bottom w:val="single" w:color="auto" w:sz="4" w:space="0"/>
              <w:right w:val="single" w:color="auto" w:sz="4" w:space="0"/>
            </w:tcBorders>
            <w:noWrap w:val="0"/>
            <w:vAlign w:val="center"/>
          </w:tcPr>
          <w:p>
            <w:pPr>
              <w:pStyle w:val="9"/>
              <w:ind w:firstLine="0" w:firstLineChars="0"/>
              <w:jc w:val="center"/>
              <w:rPr>
                <w:rFonts w:ascii="仿宋_GB2312" w:eastAsia="仿宋_GB2312"/>
                <w:color w:val="000000"/>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pStyle w:val="9"/>
              <w:ind w:firstLine="0" w:firstLineChars="0"/>
              <w:rPr>
                <w:rFonts w:ascii="仿宋_GB2312" w:eastAsia="仿宋_GB2312"/>
                <w:color w:val="000000"/>
                <w:kern w:val="0"/>
                <w:sz w:val="24"/>
                <w:szCs w:val="24"/>
              </w:rPr>
            </w:pPr>
            <w:r>
              <w:rPr>
                <w:rFonts w:hint="eastAsia" w:ascii="仿宋_GB2312" w:eastAsia="仿宋_GB2312"/>
                <w:color w:val="000000"/>
                <w:kern w:val="0"/>
                <w:sz w:val="24"/>
                <w:szCs w:val="24"/>
              </w:rPr>
              <w:t>执行行前说明会制度，规范讲解文明旅游内容。</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4.6.1.3</w:t>
            </w:r>
          </w:p>
        </w:tc>
        <w:tc>
          <w:tcPr>
            <w:tcW w:w="1954" w:type="dxa"/>
            <w:tcBorders>
              <w:top w:val="single" w:color="auto" w:sz="4" w:space="0"/>
              <w:left w:val="nil"/>
              <w:bottom w:val="single" w:color="auto" w:sz="4" w:space="0"/>
              <w:right w:val="single" w:color="auto" w:sz="4" w:space="0"/>
            </w:tcBorders>
            <w:noWrap w:val="0"/>
            <w:vAlign w:val="center"/>
          </w:tcPr>
          <w:p>
            <w:pPr>
              <w:pStyle w:val="9"/>
              <w:ind w:firstLine="0" w:firstLineChars="0"/>
              <w:jc w:val="center"/>
              <w:rPr>
                <w:rFonts w:ascii="仿宋_GB2312" w:eastAsia="仿宋_GB2312"/>
                <w:color w:val="000000"/>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pStyle w:val="9"/>
              <w:ind w:firstLine="0" w:firstLineChars="0"/>
              <w:rPr>
                <w:rFonts w:ascii="仿宋_GB2312" w:eastAsia="仿宋_GB2312"/>
                <w:color w:val="000000"/>
                <w:kern w:val="0"/>
                <w:sz w:val="24"/>
                <w:szCs w:val="24"/>
              </w:rPr>
            </w:pPr>
            <w:r>
              <w:rPr>
                <w:rFonts w:hint="eastAsia" w:ascii="仿宋_GB2312" w:eastAsia="仿宋_GB2312"/>
                <w:color w:val="000000"/>
                <w:kern w:val="0"/>
                <w:sz w:val="24"/>
                <w:szCs w:val="24"/>
              </w:rPr>
              <w:t>引导旅游者签订文明旅游承诺书。</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通过短信、微信等形式提醒参团旅游者文明旅游。</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4.6.1.5</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对行前说明会执行情况进行考核。</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落地环节</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与地接社签订规范合同，约定文明旅游引导职责。</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全陪或领队与旅游目的地导游做好对接，宣传讲解目的地风俗习惯和有关禁忌，特别做好当地法律法规的提示、说明。</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组团社、地接社制定不文明旅游事件应急处置预案，并进行培训。</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行程环节</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60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提前介绍文明乘车（飞机、船）的相关知识，并组织旅游者文明、安全乘坐交通工具。</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4.6.3.2</w:t>
            </w:r>
          </w:p>
        </w:tc>
        <w:tc>
          <w:tcPr>
            <w:tcW w:w="1954" w:type="dxa"/>
            <w:tcBorders>
              <w:top w:val="single" w:color="auto" w:sz="4" w:space="0"/>
              <w:left w:val="nil"/>
              <w:bottom w:val="single" w:color="auto" w:sz="4" w:space="0"/>
              <w:right w:val="single" w:color="auto" w:sz="4" w:space="0"/>
            </w:tcBorders>
            <w:noWrap w:val="0"/>
            <w:vAlign w:val="center"/>
          </w:tcPr>
          <w:p>
            <w:pPr>
              <w:pStyle w:val="9"/>
              <w:ind w:firstLine="0" w:firstLineChars="0"/>
              <w:rPr>
                <w:rFonts w:ascii="仿宋_GB2312" w:eastAsia="仿宋_GB2312"/>
                <w:color w:val="000000"/>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pStyle w:val="9"/>
              <w:ind w:firstLine="0" w:firstLineChars="0"/>
              <w:rPr>
                <w:rFonts w:ascii="仿宋_GB2312" w:eastAsia="仿宋_GB2312"/>
                <w:color w:val="000000"/>
                <w:kern w:val="0"/>
                <w:sz w:val="24"/>
                <w:szCs w:val="24"/>
              </w:rPr>
            </w:pPr>
            <w:r>
              <w:rPr>
                <w:rFonts w:hint="eastAsia" w:ascii="仿宋_GB2312" w:eastAsia="仿宋_GB2312"/>
                <w:color w:val="000000"/>
                <w:kern w:val="0"/>
                <w:sz w:val="24"/>
                <w:szCs w:val="24"/>
              </w:rPr>
              <w:t>提前介绍文明住宿的相关知识，并组织旅游者文明有序入住酒店。</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4.6.3.3</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提前介绍文明用餐的相关知识，并组织旅游者文明有序就餐。</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4.6.3.4</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提前介绍文明游览的相关知识，并组织旅游者文明有序游览。</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4.6.3.5</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提前介绍文明娱乐的相关知识。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4</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4.6.3.6</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提前介绍文明购物、理性消费的相关知识。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4</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4.6.3.7</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提前介绍出入境相关法律法规及相关礼仪规范，并组织旅游者文明有序通关。</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4.6.3.8</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及时有效制止旅游者不文明行为。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4.6.3.9</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导游领队佩戴文明旅游引导标志。</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2</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4.6.3.10</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无不文明行为事件或及时向旅行社、使领馆报告重大不文明行为事件。</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文明旅游督导员</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4.6.4.1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建立文明旅游督导员制度。</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4.6.4.2</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有专门针对文明旅游督导员的培训。</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4.6.4.3</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有文明旅游督导员活动记录。</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4.6.4.4</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有文明旅游督导员奖励制度并实施。</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星级旅游饭店</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120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住宿环节</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办理入住时提醒旅游者文明住宿相关事项，大厅或客房摆放文明旅游公益宣传品或播放宣传片。</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4.6.1.2</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提供娱乐项目或活动时，提醒旅游者文明娱乐相关事项。</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4.6.1.3</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提醒旅游者文明住宿，对不文明行为及时有效劝导。</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餐饮环节</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常态化开展“光盘行动”。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4.6.2.2</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引导旅游者合理点菜、文明用餐，主动为消费者提供公勺公筷、打包服务。</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4.6.2.3</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建立文明餐饮、节俭消费、公勺公筷、拒食野生动物等提醒提示制度。</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4.6.2.4</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在餐桌摆放文明用餐宣传牌。每发现1处不符合扣1分。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4.6.2.5</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有效维护文明、有序的就餐秩序，不提供野生动物餐饮服务。每发现1处不符合扣1分；提供野生动物餐饮服务扣8分。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4.6.2.6</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加强宴会前沟通，引导合理选择菜品、避免浪费。</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4.6.2.7</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加强食品采购和加工制作等各环节的管理，学习和推广各种减少食品浪费的措施。</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旅游景区</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r>
              <w:rPr>
                <w:rFonts w:hint="eastAsia" w:ascii="仿宋_GB2312"/>
                <w:b/>
                <w:bCs/>
                <w:kern w:val="0"/>
                <w:sz w:val="24"/>
                <w:szCs w:val="24"/>
              </w:rPr>
              <w:t>120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游览环节</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景区入口、游客服务中心、旅游者集中场所显著位置设置文明旅游标语牌、进行文明旅游提示。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4.6.1.2</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景区宣传册、宣传单、宣传广告上印有文明游览提示信息。</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4.6.1.3</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游客服务中心、重要旅游点设立志愿服务站，并提供文明旅游引导服务。每发现1处不符合扣1分。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4.6.1.4</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游览车、摆渡车、游船等景区内交通工具上张贴、摆放文明旅游标识，服务人员提醒旅游者文明乘坐。每发现1处不符合扣1分。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4.6.1.5</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讲解词加入文明旅游相关内容。</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8</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4.6.1.6</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讲解服务过程中有文明旅游相关提示。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4.6.1.7</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旅游演出现场有文明观演提示。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4.6.1.8</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重点区域设有固定岗位文明旅游督导员，其他区域设有流动岗位文明旅游督导员。</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4.6.1.9</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文明旅游督导员有效发挥作用。</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保护生态环节</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4.6.2.1</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有环境综合整治机构和制度。</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4.6.2.2</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采取有效措施营造和谐舒适文明有序的旅游环境。</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4.6.2.3</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有环境保护制度和实施方案。</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4.6.2.4</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在景区入口显著位置公布最大承载量，有实时监控系统及客流预警方案。每发现1处不符合扣1分。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4.6.2.5</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景区卫生环境符合《旅游景区（点）质量等级的划分与评定》（GB/T 17775）的有关规定，建立有效的卫生检查管理制度，卫生环境良好。每发现1处不符合扣1分。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实践活动</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150</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5.1</w:t>
            </w:r>
          </w:p>
        </w:tc>
        <w:tc>
          <w:tcPr>
            <w:tcW w:w="1954"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活动要求</w:t>
            </w:r>
          </w:p>
        </w:tc>
        <w:tc>
          <w:tcPr>
            <w:tcW w:w="3053" w:type="dxa"/>
            <w:tcBorders>
              <w:top w:val="single" w:color="auto" w:sz="4" w:space="0"/>
              <w:left w:val="nil"/>
              <w:bottom w:val="single" w:color="auto" w:sz="4" w:space="0"/>
              <w:right w:val="single" w:color="auto" w:sz="4" w:space="0"/>
            </w:tcBorders>
            <w:noWrap w:val="0"/>
            <w:vAlign w:val="center"/>
          </w:tcPr>
          <w:p>
            <w:pPr>
              <w:pStyle w:val="5"/>
              <w:jc w:val="center"/>
              <w:rPr>
                <w:rFonts w:ascii="仿宋_GB2312" w:eastAsia="仿宋_GB2312"/>
                <w:color w:val="000000"/>
                <w:sz w:val="24"/>
                <w:szCs w:val="24"/>
              </w:rPr>
            </w:pPr>
            <w:r>
              <w:rPr>
                <w:rFonts w:hint="eastAsia" w:ascii="仿宋_GB2312" w:eastAsia="仿宋_GB2312"/>
                <w:color w:val="00000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40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5.1.1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r>
              <w:rPr>
                <w:rFonts w:hint="eastAsia" w:ascii="仿宋_GB2312"/>
                <w:sz w:val="24"/>
                <w:szCs w:val="24"/>
              </w:rPr>
              <w:t>时点</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sz w:val="24"/>
                <w:szCs w:val="24"/>
              </w:rPr>
            </w:pPr>
            <w:r>
              <w:rPr>
                <w:rFonts w:hint="eastAsia" w:ascii="仿宋_GB2312"/>
                <w:sz w:val="24"/>
                <w:szCs w:val="24"/>
              </w:rPr>
              <w:t>有结合长假、小长假或重要时点的文明旅游活动。分档计分。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sz w:val="24"/>
                <w:szCs w:val="24"/>
              </w:rPr>
            </w:pPr>
            <w:r>
              <w:rPr>
                <w:rFonts w:hint="eastAsia" w:ascii="仿宋_GB2312"/>
                <w:sz w:val="24"/>
                <w:szCs w:val="24"/>
              </w:rPr>
              <w:t>一年7次及以上。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sz w:val="24"/>
                <w:szCs w:val="24"/>
              </w:rPr>
            </w:pPr>
            <w:r>
              <w:rPr>
                <w:rFonts w:hint="eastAsia" w:ascii="仿宋_GB2312"/>
                <w:sz w:val="24"/>
                <w:szCs w:val="24"/>
              </w:rPr>
              <w:t>一年4次及以上。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5.1.2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sz w:val="24"/>
                <w:szCs w:val="24"/>
              </w:rPr>
            </w:pPr>
            <w:r>
              <w:rPr>
                <w:rFonts w:hint="eastAsia" w:ascii="仿宋_GB2312"/>
                <w:sz w:val="24"/>
                <w:szCs w:val="24"/>
              </w:rPr>
              <w:t>特色</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sz w:val="24"/>
                <w:szCs w:val="24"/>
              </w:rPr>
            </w:pPr>
            <w:r>
              <w:rPr>
                <w:rFonts w:hint="eastAsia" w:ascii="仿宋_GB2312"/>
                <w:sz w:val="24"/>
                <w:szCs w:val="24"/>
              </w:rPr>
              <w:t>有根据经营特点组织的文明旅游活动。一年1次得2分。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队伍建设</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5.2.1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队伍</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有志愿服务队伍。</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5.2.2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窗口</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有志愿服务窗口。</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5.2.3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项目</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有志愿服务项目。</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品牌建设</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5.3.1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创建活动</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有文明创建等活动。分档计分。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国家级文明品牌创建。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省级文明品牌创建。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市级文明品牌创建。</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5.3.2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文明共建活动</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有与其他部门及企事业单位联合开展的文明共建活动。分档计分。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一年8次及以上。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一年4次及以上。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公益活动</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分档计分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一年10次及以上。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一年8次及以上。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一年5次及以上。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附加项目</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100</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kern w:val="0"/>
                <w:sz w:val="24"/>
                <w:szCs w:val="24"/>
              </w:rPr>
            </w:pPr>
            <w:r>
              <w:rPr>
                <w:rFonts w:hint="eastAsia" w:ascii="仿宋_GB2312"/>
                <w:kern w:val="0"/>
                <w:sz w:val="24"/>
                <w:szCs w:val="24"/>
              </w:rPr>
              <w:t>单位荣获相关</w:t>
            </w:r>
          </w:p>
          <w:p>
            <w:pPr>
              <w:widowControl/>
              <w:jc w:val="center"/>
              <w:rPr>
                <w:rFonts w:ascii="仿宋_GB2312" w:hAnsi="Calibri"/>
                <w:kern w:val="0"/>
                <w:sz w:val="24"/>
                <w:szCs w:val="24"/>
              </w:rPr>
            </w:pPr>
            <w:r>
              <w:rPr>
                <w:rFonts w:hint="eastAsia" w:ascii="仿宋_GB2312"/>
                <w:kern w:val="0"/>
                <w:sz w:val="24"/>
                <w:szCs w:val="24"/>
              </w:rPr>
              <w:t>奖励或认证</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6.1.1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荣获相关奖励</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近三年单位获得服务质量、诚信建设、精神文明等相关奖励。</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中央部委奖励（1个及以上计15分）。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省级奖励（1个计5分）。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6.1.2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kern w:val="0"/>
                <w:sz w:val="24"/>
                <w:szCs w:val="24"/>
              </w:rPr>
            </w:pPr>
            <w:r>
              <w:rPr>
                <w:rFonts w:hint="eastAsia" w:ascii="仿宋_GB2312"/>
                <w:kern w:val="0"/>
                <w:sz w:val="24"/>
                <w:szCs w:val="24"/>
              </w:rPr>
              <w:t>荣获相关品牌</w:t>
            </w:r>
          </w:p>
          <w:p>
            <w:pPr>
              <w:widowControl/>
              <w:jc w:val="center"/>
              <w:rPr>
                <w:rFonts w:ascii="仿宋_GB2312" w:hAnsi="Calibri"/>
                <w:kern w:val="0"/>
                <w:sz w:val="24"/>
                <w:szCs w:val="24"/>
              </w:rPr>
            </w:pPr>
            <w:r>
              <w:rPr>
                <w:rFonts w:hint="eastAsia" w:ascii="仿宋_GB2312"/>
                <w:kern w:val="0"/>
                <w:sz w:val="24"/>
                <w:szCs w:val="24"/>
              </w:rPr>
              <w:t>或认证</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单位获得相关品牌或认证。</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荣获国家5A级旅游景区、国家级旅游度假区、五星级旅游饭店、5A级旅行社、国家工业旅游示范基地、全国休闲农业与乡村旅游示范点等品牌或认证。获得1个及以上计15分。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荣获国家4A级旅游景区、省级旅游度假区、四星级旅游饭店、4A级旅行社、省级休闲农业与乡村旅游示范点等品牌或认证。每1个计5分。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6.2</w:t>
            </w: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工作人员荣获奖励</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近三年工作人员获得服务质量、诚信建设、精神文明等相关奖励。累计计分。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中央部委奖励（1个及以上计20分）。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省级奖励（1个及以上计15分）。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市级奖励（1个及以上计10分）。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6.3</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志愿者</w:t>
            </w:r>
          </w:p>
        </w:tc>
        <w:tc>
          <w:tcPr>
            <w:tcW w:w="305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6.3.1</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活动品牌</w:t>
            </w:r>
          </w:p>
        </w:tc>
        <w:tc>
          <w:tcPr>
            <w:tcW w:w="3053" w:type="dxa"/>
            <w:tcBorders>
              <w:top w:val="single" w:color="auto" w:sz="4" w:space="0"/>
              <w:left w:val="nil"/>
              <w:bottom w:val="single" w:color="auto" w:sz="4" w:space="0"/>
              <w:right w:val="single" w:color="auto" w:sz="4" w:space="0"/>
            </w:tcBorders>
            <w:noWrap w:val="0"/>
            <w:vAlign w:val="center"/>
          </w:tcPr>
          <w:p>
            <w:pPr>
              <w:rPr>
                <w:rFonts w:ascii="仿宋_GB2312" w:hAnsi="Calibri"/>
                <w:kern w:val="0"/>
                <w:sz w:val="24"/>
                <w:szCs w:val="24"/>
              </w:rPr>
            </w:pPr>
            <w:r>
              <w:rPr>
                <w:rFonts w:hint="eastAsia" w:ascii="仿宋_GB2312"/>
                <w:kern w:val="0"/>
                <w:sz w:val="24"/>
                <w:szCs w:val="24"/>
              </w:rPr>
              <w:t>有特色鲜明的志愿服务品牌。</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6.3.2</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活动频次</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活动频次较高。</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一年10次及以上。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一年8次及以上。</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8</w:t>
            </w: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6.4</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媒体宣传</w:t>
            </w: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文明旅游活动或事迹被各类社会媒体报道、宣传（此处分数可累加）。累计计分。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文档检查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中央媒体（每1个计6分）。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30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省级或行业媒体（每1个计5分）。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20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地（市）级媒体（每1个计2分）。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10</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954"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p>
        </w:tc>
        <w:tc>
          <w:tcPr>
            <w:tcW w:w="3053" w:type="dxa"/>
            <w:tcBorders>
              <w:top w:val="single" w:color="auto" w:sz="4" w:space="0"/>
              <w:left w:val="nil"/>
              <w:bottom w:val="single" w:color="auto" w:sz="4" w:space="0"/>
              <w:right w:val="single" w:color="auto" w:sz="4" w:space="0"/>
            </w:tcBorders>
            <w:noWrap w:val="0"/>
            <w:vAlign w:val="center"/>
          </w:tcPr>
          <w:p>
            <w:pPr>
              <w:widowControl/>
              <w:rPr>
                <w:rFonts w:ascii="仿宋_GB2312" w:hAnsi="Calibri"/>
                <w:kern w:val="0"/>
                <w:sz w:val="24"/>
                <w:szCs w:val="24"/>
              </w:rPr>
            </w:pPr>
            <w:r>
              <w:rPr>
                <w:rFonts w:hint="eastAsia" w:ascii="仿宋_GB2312"/>
                <w:kern w:val="0"/>
                <w:sz w:val="24"/>
                <w:szCs w:val="24"/>
              </w:rPr>
              <w:t>地（市）级以下媒体（每1个计1分）。</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r>
              <w:rPr>
                <w:rFonts w:hint="eastAsia" w:ascii="仿宋_GB2312"/>
                <w:kern w:val="0"/>
                <w:sz w:val="24"/>
                <w:szCs w:val="24"/>
              </w:rPr>
              <w:t>5</w:t>
            </w:r>
          </w:p>
        </w:tc>
        <w:tc>
          <w:tcPr>
            <w:tcW w:w="6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c>
          <w:tcPr>
            <w:tcW w:w="12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Calibri"/>
                <w:kern w:val="0"/>
                <w:sz w:val="24"/>
                <w:szCs w:val="24"/>
              </w:rPr>
            </w:pPr>
          </w:p>
        </w:tc>
      </w:tr>
    </w:tbl>
    <w:p>
      <w:pPr>
        <w:ind w:left="480" w:hanging="330" w:hangingChars="150"/>
        <w:rPr>
          <w:rFonts w:hint="eastAsia" w:ascii="仿宋_GB2312" w:hAnsi="仿宋_GB2312" w:eastAsia="仿宋_GB2312" w:cs="仿宋_GB2312"/>
          <w:sz w:val="22"/>
          <w:szCs w:val="22"/>
        </w:rPr>
      </w:pPr>
      <w:r>
        <w:rPr>
          <w:rFonts w:hint="eastAsia" w:ascii="仿宋_GB2312" w:hAnsi="仿宋_GB2312" w:eastAsia="仿宋_GB2312" w:cs="仿宋_GB2312"/>
          <w:sz w:val="22"/>
          <w:szCs w:val="28"/>
        </w:rPr>
        <w:t>注：所有项目评分的最高分数不得超过该项所占分值，最低分数不得出现负值。</w:t>
      </w:r>
    </w:p>
    <w:p>
      <w:pPr>
        <w:rPr>
          <w:rFonts w:hint="eastAsia" w:ascii="仿宋_GB2312"/>
        </w:rPr>
      </w:pPr>
      <w:r>
        <w:rPr>
          <w:rFonts w:hint="eastAsia" w:ascii="仿宋_GB2312"/>
        </w:rPr>
        <w:t xml:space="preserve"> </w:t>
      </w:r>
    </w:p>
    <w:p>
      <w:pPr>
        <w:jc w:val="center"/>
        <w:rPr>
          <w:rFonts w:hint="eastAsia" w:ascii="方正小标宋简体" w:hAnsi="仿宋_GB2312" w:eastAsia="方正小标宋简体" w:cs="仿宋_GB2312"/>
          <w:sz w:val="36"/>
          <w:szCs w:val="36"/>
        </w:rPr>
      </w:pPr>
      <w:r>
        <w:rPr>
          <w:rFonts w:ascii="方正仿宋_GBK"/>
        </w:rPr>
        <w:br w:type="page"/>
      </w:r>
      <w:r>
        <w:rPr>
          <w:rFonts w:hint="eastAsia" w:ascii="方正小标宋简体" w:hAnsi="仿宋_GB2312" w:eastAsia="方正小标宋简体" w:cs="仿宋_GB2312"/>
          <w:sz w:val="36"/>
          <w:szCs w:val="36"/>
        </w:rPr>
        <w:t>文明旅游负面清单管理措施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5"/>
        <w:gridCol w:w="3016"/>
        <w:gridCol w:w="3118"/>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黑体" w:hAnsi="Calibri" w:eastAsia="黑体"/>
                <w:bCs/>
                <w:sz w:val="30"/>
                <w:szCs w:val="30"/>
              </w:rPr>
            </w:pPr>
            <w:r>
              <w:rPr>
                <w:rFonts w:hint="eastAsia" w:ascii="黑体" w:eastAsia="黑体"/>
                <w:bCs/>
                <w:sz w:val="30"/>
                <w:szCs w:val="30"/>
              </w:rPr>
              <w:t>序号</w:t>
            </w:r>
          </w:p>
        </w:tc>
        <w:tc>
          <w:tcPr>
            <w:tcW w:w="3016"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黑体" w:hAnsi="Calibri" w:eastAsia="黑体"/>
                <w:bCs/>
                <w:sz w:val="30"/>
                <w:szCs w:val="30"/>
              </w:rPr>
            </w:pPr>
            <w:r>
              <w:rPr>
                <w:rFonts w:hint="eastAsia" w:ascii="黑体" w:eastAsia="黑体"/>
                <w:bCs/>
                <w:sz w:val="30"/>
                <w:szCs w:val="30"/>
              </w:rPr>
              <w:t>项目</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黑体" w:hAnsi="Calibri" w:eastAsia="黑体"/>
                <w:bCs/>
                <w:sz w:val="30"/>
                <w:szCs w:val="30"/>
              </w:rPr>
            </w:pPr>
            <w:r>
              <w:rPr>
                <w:rFonts w:hint="eastAsia" w:ascii="黑体" w:eastAsia="黑体"/>
                <w:bCs/>
                <w:sz w:val="30"/>
                <w:szCs w:val="30"/>
              </w:rPr>
              <w:t>惩戒办法</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hint="eastAsia" w:ascii="黑体" w:eastAsia="黑体"/>
                <w:bCs/>
                <w:sz w:val="30"/>
                <w:szCs w:val="30"/>
              </w:rPr>
            </w:pPr>
            <w:r>
              <w:rPr>
                <w:rFonts w:hint="eastAsia" w:ascii="黑体" w:eastAsia="黑体"/>
                <w:bCs/>
                <w:sz w:val="30"/>
                <w:szCs w:val="30"/>
              </w:rPr>
              <w:t>验收方法</w:t>
            </w:r>
          </w:p>
          <w:p>
            <w:pPr>
              <w:spacing w:line="500" w:lineRule="exact"/>
              <w:jc w:val="center"/>
              <w:rPr>
                <w:rFonts w:ascii="黑体" w:hAnsi="Calibri" w:eastAsia="黑体"/>
                <w:bCs/>
                <w:sz w:val="30"/>
                <w:szCs w:val="30"/>
              </w:rPr>
            </w:pPr>
            <w:r>
              <w:rPr>
                <w:rFonts w:hint="eastAsia" w:ascii="黑体" w:eastAsia="黑体"/>
                <w:bCs/>
                <w:sz w:val="30"/>
                <w:szCs w:val="30"/>
              </w:rPr>
              <w:t>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w:t>
            </w:r>
          </w:p>
        </w:tc>
        <w:tc>
          <w:tcPr>
            <w:tcW w:w="301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因宣传引导和劝导不力导致的旅游者不文明行为</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累计计分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1.1</w:t>
            </w:r>
          </w:p>
        </w:tc>
        <w:tc>
          <w:tcPr>
            <w:tcW w:w="301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扰乱航空器、车船或者其他公共交通工具秩序</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1.2</w:t>
            </w:r>
          </w:p>
        </w:tc>
        <w:tc>
          <w:tcPr>
            <w:tcW w:w="301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破坏公共环境卫生、公共设施</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1.3</w:t>
            </w:r>
          </w:p>
        </w:tc>
        <w:tc>
          <w:tcPr>
            <w:tcW w:w="301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违反旅游目的地社会风俗、民族生活习惯</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1.4</w:t>
            </w:r>
          </w:p>
        </w:tc>
        <w:tc>
          <w:tcPr>
            <w:tcW w:w="301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损毁、破坏旅游目的地文物古迹</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1.5</w:t>
            </w:r>
          </w:p>
        </w:tc>
        <w:tc>
          <w:tcPr>
            <w:tcW w:w="3016"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参与赌博、色情、涉毒活动</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1.6</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不顾劝阻、警示从事危及自身以及他人人身财产安全的活动</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1.7</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破坏生态环境，违反野生动植物保护规定</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1.8</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违反旅游场所规定，严重扰乱旅游秩序</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测评前12个月发生，测评成绩扣25分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1.9</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中华人民共和国文化和旅游部认定的造成严重社会不良影响的其他行为</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测评前12个月发生，测评成绩扣50分</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2</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旅游经营管理与服务的工作人员</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2.1</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价格欺诈、强迫交易、欺骗诱导旅游者消费</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测评前12个月发生，取消申报资格</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2.2</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侮辱、殴打、胁迫旅游者</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测评前12个月发生，取消申报资格</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2.3</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不尊重旅游目的地或旅游者的宗教信仰、民族习惯、风俗禁忌</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测评前12个月发生，取消申报资格</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2.4</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传播低级趣味、宣传迷信思想</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测评前12个月发生，取消申报资格</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Calibri"/>
                <w:sz w:val="30"/>
                <w:szCs w:val="30"/>
              </w:rPr>
            </w:pPr>
            <w:r>
              <w:rPr>
                <w:rFonts w:hint="eastAsia" w:ascii="仿宋_GB2312"/>
                <w:sz w:val="30"/>
                <w:szCs w:val="30"/>
              </w:rPr>
              <w:t>2.5</w:t>
            </w:r>
          </w:p>
        </w:tc>
        <w:tc>
          <w:tcPr>
            <w:tcW w:w="3016" w:type="dxa"/>
            <w:tcBorders>
              <w:top w:val="single" w:color="auto" w:sz="4" w:space="0"/>
              <w:left w:val="nil"/>
              <w:bottom w:val="single" w:color="auto" w:sz="4" w:space="0"/>
              <w:right w:val="single" w:color="auto" w:sz="4" w:space="0"/>
            </w:tcBorders>
            <w:noWrap w:val="0"/>
            <w:vAlign w:val="top"/>
          </w:tcPr>
          <w:p>
            <w:pPr>
              <w:spacing w:line="500" w:lineRule="exact"/>
              <w:rPr>
                <w:rFonts w:ascii="仿宋_GB2312" w:hAnsi="Calibri"/>
                <w:sz w:val="30"/>
                <w:szCs w:val="30"/>
              </w:rPr>
            </w:pPr>
            <w:r>
              <w:rPr>
                <w:rFonts w:hint="eastAsia" w:ascii="仿宋_GB2312"/>
                <w:sz w:val="30"/>
                <w:szCs w:val="30"/>
              </w:rPr>
              <w:t>中华人民共和国文化和旅游部认定的其他旅游不文明行为</w:t>
            </w:r>
          </w:p>
        </w:tc>
        <w:tc>
          <w:tcPr>
            <w:tcW w:w="3118"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测评前12个月发生，取消申报资格</w:t>
            </w:r>
          </w:p>
        </w:tc>
        <w:tc>
          <w:tcPr>
            <w:tcW w:w="1801" w:type="dxa"/>
            <w:tcBorders>
              <w:top w:val="single" w:color="auto" w:sz="4" w:space="0"/>
              <w:left w:val="nil"/>
              <w:bottom w:val="single" w:color="auto" w:sz="4" w:space="0"/>
              <w:right w:val="single" w:color="auto" w:sz="4" w:space="0"/>
            </w:tcBorders>
            <w:noWrap w:val="0"/>
            <w:vAlign w:val="center"/>
          </w:tcPr>
          <w:p>
            <w:pPr>
              <w:spacing w:line="500" w:lineRule="exact"/>
              <w:rPr>
                <w:rFonts w:ascii="仿宋_GB2312" w:hAnsi="Calibri"/>
                <w:sz w:val="30"/>
                <w:szCs w:val="30"/>
              </w:rPr>
            </w:pPr>
            <w:r>
              <w:rPr>
                <w:rFonts w:hint="eastAsia" w:ascii="仿宋_GB2312"/>
                <w:sz w:val="30"/>
                <w:szCs w:val="30"/>
              </w:rPr>
              <w:t>文档、现场综合检查。</w:t>
            </w:r>
          </w:p>
        </w:tc>
      </w:tr>
    </w:tbl>
    <w:p>
      <w:pPr>
        <w:spacing w:line="600" w:lineRule="exact"/>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等线 Light">
    <w:altName w:val="微软雅黑"/>
    <w:panose1 w:val="00000000000000000000"/>
    <w:charset w:val="00"/>
    <w:family w:val="auto"/>
    <w:pitch w:val="default"/>
    <w:sig w:usb0="00000000" w:usb1="00000000" w:usb2="00000000" w:usb3="00000000" w:csb0="00040001" w:csb1="00000000"/>
  </w:font>
  <w:font w:name="方正仿宋_GBK">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5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qFormat/>
    <w:uiPriority w:val="0"/>
    <w:pPr>
      <w:widowControl/>
      <w:spacing w:before="100" w:beforeAutospacing="1" w:after="100" w:afterAutospacing="1"/>
      <w:ind w:firstLine="0" w:firstLineChars="0"/>
    </w:pPr>
    <w:rPr>
      <w:rFonts w:ascii="宋体" w:hAnsi="宋体" w:eastAsia="宋体" w:cs="宋体"/>
      <w:sz w:val="24"/>
      <w:szCs w:val="24"/>
    </w:rPr>
  </w:style>
  <w:style w:type="paragraph" w:customStyle="1" w:styleId="5">
    <w:name w:val="二级无"/>
    <w:basedOn w:val="6"/>
    <w:uiPriority w:val="0"/>
    <w:pPr>
      <w:spacing w:beforeLines="0" w:afterLines="0"/>
    </w:pPr>
    <w:rPr>
      <w:rFonts w:ascii="宋体" w:eastAsia="宋体"/>
    </w:rPr>
  </w:style>
  <w:style w:type="paragraph" w:customStyle="1" w:styleId="6">
    <w:name w:val="二级条标题"/>
    <w:basedOn w:val="7"/>
    <w:next w:val="1"/>
    <w:uiPriority w:val="0"/>
    <w:pPr>
      <w:spacing w:before="0" w:beforeLines="50" w:beforeAutospacing="0" w:after="0" w:afterLines="50" w:afterAutospacing="0"/>
      <w:ind w:left="0"/>
      <w:jc w:val="left"/>
      <w:outlineLvl w:val="3"/>
    </w:pPr>
    <w:rPr>
      <w:kern w:val="0"/>
    </w:rPr>
  </w:style>
  <w:style w:type="paragraph" w:customStyle="1" w:styleId="7">
    <w:name w:val="一级条标题"/>
    <w:basedOn w:val="1"/>
    <w:next w:val="8"/>
    <w:uiPriority w:val="0"/>
    <w:pPr>
      <w:widowControl/>
      <w:spacing w:before="100" w:beforeAutospacing="1" w:after="100" w:afterAutospacing="1"/>
      <w:ind w:left="630"/>
      <w:outlineLvl w:val="2"/>
    </w:pPr>
    <w:rPr>
      <w:rFonts w:ascii="黑体" w:eastAsia="黑体"/>
      <w:color w:val="auto"/>
      <w:sz w:val="21"/>
      <w:szCs w:val="21"/>
    </w:rPr>
  </w:style>
  <w:style w:type="paragraph" w:customStyle="1" w:styleId="8">
    <w:name w:val="段"/>
    <w:basedOn w:val="1"/>
    <w:uiPriority w:val="0"/>
    <w:pPr>
      <w:widowControl/>
      <w:autoSpaceDE w:val="0"/>
      <w:autoSpaceDN w:val="0"/>
      <w:ind w:firstLine="200" w:firstLineChars="200"/>
    </w:pPr>
    <w:rPr>
      <w:rFonts w:ascii="宋体" w:eastAsia="宋体"/>
      <w:color w:val="auto"/>
      <w:kern w:val="0"/>
      <w:sz w:val="21"/>
      <w:szCs w:val="21"/>
    </w:rPr>
  </w:style>
  <w:style w:type="paragraph" w:customStyle="1" w:styleId="9">
    <w:name w:val="列出段落1"/>
    <w:basedOn w:val="1"/>
    <w:uiPriority w:val="0"/>
    <w:pPr>
      <w:ind w:firstLine="420" w:firstLineChars="200"/>
    </w:pPr>
    <w:rPr>
      <w:rFonts w:ascii="Calibri" w:hAnsi="Calibri" w:eastAsia="宋体"/>
      <w:color w:val="aut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2021-04-14T02:55:23Z</dcterms:created>
  <dc:creator>wucong</dc:creator>
  <cp:lastModifiedBy>网站信息发布人员</cp:lastModifiedBy>
  <dcterms:modified xsi:type="dcterms:W3CDTF">2021-04-14T02:55:43Z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F4ED7150EBE84731BF8ACF86F29277CB</vt:lpwstr>
  </property>
</Properties>
</file>